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8"/>
          <w:shd w:fill="auto" w:val="clear"/>
        </w:rPr>
        <w:t xml:space="preserve">资产管理数字化平台参数</w:t>
      </w:r>
    </w:p>
    <w:p>
      <w:pPr>
        <w:keepNext w:val="true"/>
        <w:keepLines w:val="true"/>
        <w:spacing w:before="260" w:after="260" w:line="41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整体方案</w:t>
      </w:r>
    </w:p>
    <w:p>
      <w:pPr>
        <w:spacing w:before="0" w:after="0" w:line="24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资产管理平台是对资产管理业务的上下游管理链做广泛的延伸，专精于资产管理，真正意义地在一个平台上，去解决学校关于管理上的问题。资产平台功能框架需涵盖以下下业务层面：</w:t>
      </w:r>
    </w:p>
    <w:p>
      <w:pPr>
        <w:numPr>
          <w:ilvl w:val="0"/>
          <w:numId w:val="4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平台管理</w:t>
      </w:r>
    </w:p>
    <w:p>
      <w:pPr>
        <w:spacing w:before="0" w:after="0" w:line="24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平台管理系统是资产管理平台运行的基础，实现统一的组织结构建立，实现统一的用户管理，权限分配，完成平台初始化建设。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资产管理系统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对资产从采购回来入账开始的全生命周期管理，对其在学校使用的整个流程实现监控管理，包括登记入账、审核入库、财务对账、调拨再分配、信息变更、资产清查、报废下账、集成打印、统计分析、智能查询、上报管理、事务管理等。</w:t>
      </w:r>
    </w:p>
    <w:p>
      <w:pPr>
        <w:numPr>
          <w:ilvl w:val="0"/>
          <w:numId w:val="8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低值品管理系统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根据学校的管理实践，将不用纳入上报的低值品类资产单独管理，简化此类物品的管理流程，更易使用。</w:t>
      </w:r>
    </w:p>
    <w:p>
      <w:pPr>
        <w:numPr>
          <w:ilvl w:val="0"/>
          <w:numId w:val="10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仓库管理系统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引用仓库管理的模式来完成对高校低值易耗品的管理，提供全面的申购计划、出入库、库存查询、经费控制管理流程，彻底解决物质耗材管理繁琐问题。</w:t>
      </w:r>
    </w:p>
    <w:p>
      <w:pPr>
        <w:numPr>
          <w:ilvl w:val="0"/>
          <w:numId w:val="12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资产维修管理系统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资产维修管理实现资产管理部门对资产的维修维护的流程化管理，实现维修申请提交、审批、维修完成办结的过程化管理。</w:t>
      </w:r>
    </w:p>
    <w:p>
      <w:pPr>
        <w:numPr>
          <w:ilvl w:val="0"/>
          <w:numId w:val="14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资产调剂平台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科学合理的优化了资产配置。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根据需要，它分为如下功能：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1 、闲置和待报废资产查阅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2 、资产调剂申请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3 、调剂部门审核</w:t>
      </w:r>
    </w:p>
    <w:p>
      <w:pPr>
        <w:numPr>
          <w:ilvl w:val="0"/>
          <w:numId w:val="17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资产折旧管理系统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系统支持目前常用的各类固定资产分类标准，包括教育部十六大类，财政部六大类标准，其涵盖的主要功能有：</w:t>
      </w:r>
    </w:p>
    <w:p>
      <w:pPr>
        <w:numPr>
          <w:ilvl w:val="0"/>
          <w:numId w:val="19"/>
        </w:numPr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折旧方法设置</w:t>
      </w:r>
    </w:p>
    <w:p>
      <w:pPr>
        <w:numPr>
          <w:ilvl w:val="0"/>
          <w:numId w:val="19"/>
        </w:numPr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折旧计提</w:t>
      </w:r>
    </w:p>
    <w:p>
      <w:pPr>
        <w:numPr>
          <w:ilvl w:val="0"/>
          <w:numId w:val="19"/>
        </w:numPr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查询以及统计分析</w:t>
      </w:r>
    </w:p>
    <w:p>
      <w:pPr>
        <w:numPr>
          <w:ilvl w:val="0"/>
          <w:numId w:val="19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工作流管理系统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动态工作流管理用于资产管理工作中的审批流程创建、运用，将需要通过多部门流转完成的审批工作纳入到网络化管理，实现无纸化办公，在资产管理中的采购申报、维修申报、报废申报等都可设计审批流程，并运用到日常管理工作中，减少工作人员的往返跑到，在网上完成整个审批的过程。全方位动态设计，可根据自己的需要来创建工作流程，实现自定义设置。</w:t>
      </w:r>
    </w:p>
    <w:p>
      <w:pPr>
        <w:numPr>
          <w:ilvl w:val="0"/>
          <w:numId w:val="22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公房管理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提供简要的公房信息数据管理，并实现分配，收租等附带功能。包括以下几个功能：</w:t>
      </w:r>
    </w:p>
    <w:p>
      <w:pPr>
        <w:numPr>
          <w:ilvl w:val="0"/>
          <w:numId w:val="24"/>
        </w:numPr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房屋基础信息管理：</w:t>
      </w:r>
    </w:p>
    <w:p>
      <w:pPr>
        <w:numPr>
          <w:ilvl w:val="0"/>
          <w:numId w:val="24"/>
        </w:numPr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公房分配</w:t>
      </w:r>
    </w:p>
    <w:p>
      <w:pPr>
        <w:numPr>
          <w:ilvl w:val="0"/>
          <w:numId w:val="24"/>
        </w:numPr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房屋租赁人员管理：</w:t>
      </w:r>
    </w:p>
    <w:p>
      <w:pPr>
        <w:numPr>
          <w:ilvl w:val="0"/>
          <w:numId w:val="24"/>
        </w:numPr>
        <w:tabs>
          <w:tab w:val="left" w:pos="426" w:leader="none"/>
        </w:tabs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房屋资产管理：</w:t>
      </w:r>
    </w:p>
    <w:p>
      <w:pPr>
        <w:numPr>
          <w:ilvl w:val="0"/>
          <w:numId w:val="24"/>
        </w:numPr>
        <w:tabs>
          <w:tab w:val="left" w:pos="426" w:leader="none"/>
          <w:tab w:val="left" w:pos="840" w:leader="none"/>
        </w:tabs>
        <w:spacing w:before="0" w:after="0" w:line="360"/>
        <w:ind w:right="0" w:left="426" w:hanging="426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房屋统计信息：</w:t>
      </w:r>
    </w:p>
    <w:p>
      <w:pPr>
        <w:numPr>
          <w:ilvl w:val="0"/>
          <w:numId w:val="24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合同管理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资产相关业务管理的补充，针对资产采购、房屋建造或维修、设备维修、资产处置等工作签订的合同集中管理，包括合同基本信息的登记、查询、维护以及合同附件的上传，下载等功能。</w:t>
      </w:r>
    </w:p>
    <w:p>
      <w:pPr>
        <w:numPr>
          <w:ilvl w:val="0"/>
          <w:numId w:val="29"/>
        </w:numPr>
        <w:spacing w:before="0" w:after="0" w:line="240"/>
        <w:ind w:right="0" w:left="420" w:hanging="42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资产采购管理系统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资产采购管理系统，响应学校的实际管理情况，需要结合一部分目前已有系统及模块，做流程的重新整合及深度的功能定向开发。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需要整合的已有功能或模块有：预算管理系统，工作流系统，资产入账管理等。管理框架和思路如下：</w:t>
      </w:r>
    </w:p>
    <w:p>
      <w:pPr>
        <w:numPr>
          <w:ilvl w:val="0"/>
          <w:numId w:val="31"/>
        </w:numPr>
        <w:spacing w:before="0" w:after="0" w:line="240"/>
        <w:ind w:right="0" w:left="567" w:hanging="425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全盘引入预算工作管理，建立全校的资金预算体系。</w:t>
      </w:r>
    </w:p>
    <w:p>
      <w:pPr>
        <w:numPr>
          <w:ilvl w:val="0"/>
          <w:numId w:val="31"/>
        </w:numPr>
        <w:spacing w:before="0" w:after="0" w:line="240"/>
        <w:ind w:right="0" w:left="567" w:hanging="425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如果是预算内采购，由发起采购单位提出采购立项申请，并通过整合工作流系统，完成线上审批。</w:t>
      </w:r>
    </w:p>
    <w:p>
      <w:pPr>
        <w:numPr>
          <w:ilvl w:val="0"/>
          <w:numId w:val="31"/>
        </w:numPr>
        <w:spacing w:before="0" w:after="0" w:line="240"/>
        <w:ind w:right="0" w:left="567" w:hanging="425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如果是非预算内项目，涉及资金较大的采购，需要采购发起单位提交资产采购论证函，完成基础线上审批论证。</w:t>
      </w:r>
    </w:p>
    <w:p>
      <w:pPr>
        <w:numPr>
          <w:ilvl w:val="0"/>
          <w:numId w:val="31"/>
        </w:numPr>
        <w:spacing w:before="0" w:after="0" w:line="240"/>
        <w:ind w:right="0" w:left="567" w:hanging="425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确定可以采购后，生成采购物品清单。根据采购形式，有效管理在采购立项、审批、实际采购中需要归档管理的各种相关文档。</w:t>
      </w:r>
    </w:p>
    <w:p>
      <w:pPr>
        <w:numPr>
          <w:ilvl w:val="0"/>
          <w:numId w:val="31"/>
        </w:numPr>
        <w:spacing w:before="0" w:after="0" w:line="240"/>
        <w:ind w:right="0" w:left="567" w:hanging="425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根据采购清单，与资产管理系统形成联动，直接提交资产入账，简化操作。</w:t>
      </w:r>
    </w:p>
    <w:p>
      <w:pPr>
        <w:spacing w:before="0" w:after="0" w:line="360"/>
        <w:ind w:right="0" w:left="0" w:firstLine="60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综上，均为成熟子系统，只需根据学校做数据初始化工作和业务模块定点开发微调即可交付。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240" w:after="64" w:line="320"/>
        <w:ind w:right="0" w:left="0" w:firstLine="413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软件具体系统功能列表：</w:t>
      </w:r>
    </w:p>
    <w:tbl>
      <w:tblPr>
        <w:tblInd w:w="93" w:type="dxa"/>
      </w:tblPr>
      <w:tblGrid>
        <w:gridCol w:w="2620"/>
        <w:gridCol w:w="7400"/>
      </w:tblGrid>
      <w:tr>
        <w:trPr>
          <w:trHeight w:val="660" w:hRule="auto"/>
          <w:jc w:val="left"/>
        </w:trPr>
        <w:tc>
          <w:tcPr>
            <w:tcW w:w="2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功能列表</w:t>
            </w:r>
          </w:p>
        </w:tc>
        <w:tc>
          <w:tcPr>
            <w:tcW w:w="740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功能描述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平台管理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实现统一的组织结构建立、用户管理、权限分配，完成平台初始化建设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用户管理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系统用户及组织结构的管理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权限管理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用户权限分配及管理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初始化设置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系统初始化的设置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资产管理系统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资产从采购回来入账开始的全周期管理，对其在学校使用的整个流程实现监控管理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资产入账管理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各大类资产及附件入账登记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资产变更管理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资产变更申请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资产调拨管理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资产调拨处理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资产报废管理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资产报废处理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资产审核管理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各种资产申请的审核管理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事务处理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针对各项申请的退回处理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资产表单打印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各种资产单据打印管理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数据查询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各类资产数据、表单的查询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统计分析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对资产统计分析、各种报表的设置及生成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上报管理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一键生成教育部、财政部、四川机关事务局等相关上报文件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资产清查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资产清查管理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设备维修管理系统</w:t>
            </w:r>
          </w:p>
        </w:tc>
        <w:tc>
          <w:tcPr>
            <w:tcW w:w="7400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实现资产管理部门对资产的维修维护的精细化、流程化管理。</w:t>
            </w:r>
          </w:p>
        </w:tc>
      </w:tr>
      <w:tr>
        <w:trPr>
          <w:trHeight w:val="600" w:hRule="auto"/>
          <w:jc w:val="left"/>
        </w:trPr>
        <w:tc>
          <w:tcPr>
            <w:tcW w:w="262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0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资产折旧管理系统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通过对资产类别的合理区分，对应与之相符的资产折旧法则，行之有效的动态生成全校固定资产的实际价值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仓库管理系统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引用仓库管理的模式来完成对高校低值易耗品的管理，提供全面的申购计划、出入库、库存查询、经费控制管理流程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工作流管理系统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动态设计日常管理工作流，如资产申购、调拨、报废、维修等等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公房管理系统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建立一个以校园、建筑物数据、房屋数据等空间数据为基础，和学校房产管理业务数据为对象的管理系统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合同管理系统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资产相关业务管理的补充，针对资产采购、房屋建造或维修、设备维修、资产处置等工作签订的合同集中管理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资产调剂平台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盘活处于闲置状态和待报废状态的资产，整合资源，充分利用</w:t>
            </w:r>
          </w:p>
        </w:tc>
      </w:tr>
      <w:tr>
        <w:trPr>
          <w:trHeight w:val="870" w:hRule="auto"/>
          <w:jc w:val="left"/>
        </w:trPr>
        <w:tc>
          <w:tcPr>
            <w:tcW w:w="26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低值耐用品管理系统</w:t>
            </w:r>
          </w:p>
        </w:tc>
        <w:tc>
          <w:tcPr>
            <w:tcW w:w="7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实现对低值耐用品（一定金额以下不作为固定资产管理的物品）的入账、查询、报废等管理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240" w:after="64" w:line="320"/>
        <w:ind w:right="0" w:left="0" w:firstLine="413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资产管理平台软硬件组成及报价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、软件总体报价</w:t>
      </w:r>
    </w:p>
    <w:tbl>
      <w:tblPr>
        <w:tblInd w:w="108" w:type="dxa"/>
      </w:tblPr>
      <w:tblGrid>
        <w:gridCol w:w="2127"/>
        <w:gridCol w:w="1417"/>
        <w:gridCol w:w="1701"/>
        <w:gridCol w:w="1134"/>
        <w:gridCol w:w="1276"/>
        <w:gridCol w:w="1276"/>
      </w:tblGrid>
      <w:tr>
        <w:trPr>
          <w:trHeight w:val="468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产品名称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品牌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规格型号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数量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单 价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合 计</w:t>
            </w:r>
          </w:p>
        </w:tc>
      </w:tr>
      <w:tr>
        <w:trPr>
          <w:trHeight w:val="2260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资产管理平台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280" w:hanging="28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1套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6" w:hRule="auto"/>
          <w:jc w:val="left"/>
        </w:trPr>
        <w:tc>
          <w:tcPr>
            <w:tcW w:w="893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1、软件报价包括：平台所有子系统应用定制模块报价及后续接口费用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8"/>
                <w:shd w:fill="auto" w:val="clear"/>
              </w:rPr>
              <w:t xml:space="preserve">2、软件报价包含相关培训及服务费用。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、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系统软件环境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服务器操作系统：Windows Server 2003（SP2）；Asp.net 2.0（SP1）以上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客户端操作系统：Windows XP及以上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数据库管理系统：SQL Server 2003以上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浏览器：Microsoft Internet Explorer 7.0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Web服务器：采用Microsoft Internet Information Server(IIS)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客户机、服务器全部采用TCP／IP协议。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4">
    <w:abstractNumId w:val="66"/>
  </w:num>
  <w:num w:numId="6">
    <w:abstractNumId w:val="60"/>
  </w:num>
  <w:num w:numId="8">
    <w:abstractNumId w:val="54"/>
  </w:num>
  <w:num w:numId="10">
    <w:abstractNumId w:val="48"/>
  </w:num>
  <w:num w:numId="12">
    <w:abstractNumId w:val="42"/>
  </w:num>
  <w:num w:numId="14">
    <w:abstractNumId w:val="36"/>
  </w:num>
  <w:num w:numId="17">
    <w:abstractNumId w:val="30"/>
  </w:num>
  <w:num w:numId="19">
    <w:abstractNumId w:val="24"/>
  </w:num>
  <w:num w:numId="22">
    <w:abstractNumId w:val="18"/>
  </w:num>
  <w:num w:numId="24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